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78" w:rsidRPr="00FD427C" w:rsidRDefault="004E75B7" w:rsidP="00FD427C">
      <w:pPr>
        <w:pStyle w:val="Titre"/>
        <w:pBdr>
          <w:bottom w:val="none" w:sz="0" w:space="0" w:color="auto"/>
        </w:pBdr>
        <w:spacing w:after="200" w:line="276" w:lineRule="auto"/>
        <w:contextualSpacing w:val="0"/>
        <w:rPr>
          <w:rFonts w:ascii="Cambria" w:hAnsi="Cambria"/>
          <w:caps/>
          <w:color w:val="4F81BD"/>
          <w:spacing w:val="10"/>
          <w:sz w:val="44"/>
          <w:lang w:val="fr-BE" w:eastAsia="en-US"/>
        </w:rPr>
      </w:pPr>
      <w:r w:rsidRPr="004E75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9" type="#_x0000_t75" style="position:absolute;margin-left:-6.55pt;margin-top:-19.55pt;width:80pt;height:80pt;z-index:1;visibility:visible">
            <v:imagedata r:id="rId7" o:title=""/>
            <w10:wrap type="square"/>
          </v:shape>
        </w:pict>
      </w:r>
      <w:r w:rsidR="00B37C78" w:rsidRPr="00FD427C">
        <w:rPr>
          <w:rFonts w:ascii="Cambria" w:hAnsi="Cambria"/>
          <w:caps/>
          <w:color w:val="4F81BD"/>
          <w:spacing w:val="10"/>
          <w:sz w:val="44"/>
          <w:lang w:val="fr-BE" w:eastAsia="en-US"/>
        </w:rPr>
        <w:t>Dimensions de la communication en ligne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B37C78" w:rsidRPr="00771EDA" w:rsidTr="00771EDA">
        <w:trPr>
          <w:trHeight w:val="1862"/>
        </w:trPr>
        <w:tc>
          <w:tcPr>
            <w:tcW w:w="9546" w:type="dxa"/>
          </w:tcPr>
          <w:p w:rsidR="00B37C78" w:rsidRPr="00771EDA" w:rsidRDefault="00B37C78" w:rsidP="005F73DF">
            <w:pPr>
              <w:rPr>
                <w:rFonts w:ascii="Cambria" w:hAnsi="Cambria"/>
                <w:lang w:eastAsia="ja-JP"/>
              </w:rPr>
            </w:pPr>
            <w:r w:rsidRPr="00771EDA">
              <w:rPr>
                <w:rFonts w:ascii="Cambria" w:hAnsi="Cambria"/>
                <w:color w:val="4F81BD"/>
                <w:lang w:eastAsia="ja-JP"/>
              </w:rPr>
              <w:t>Auteur</w:t>
            </w:r>
            <w:r w:rsidRPr="00771EDA">
              <w:rPr>
                <w:rFonts w:ascii="Cambria" w:hAnsi="Cambria"/>
                <w:lang w:eastAsia="ja-JP"/>
              </w:rPr>
              <w:t> : Julien Lecomte</w:t>
            </w:r>
          </w:p>
          <w:p w:rsidR="00B37C78" w:rsidRPr="00771EDA" w:rsidRDefault="00B37C78" w:rsidP="005F73DF">
            <w:pPr>
              <w:rPr>
                <w:rFonts w:ascii="Cambria" w:hAnsi="Cambria"/>
                <w:lang w:eastAsia="ja-JP"/>
              </w:rPr>
            </w:pPr>
            <w:r w:rsidRPr="00771EDA">
              <w:rPr>
                <w:rFonts w:ascii="Cambria" w:hAnsi="Cambria"/>
                <w:color w:val="4F81BD"/>
                <w:lang w:eastAsia="ja-JP"/>
              </w:rPr>
              <w:t>Public visé</w:t>
            </w:r>
            <w:r w:rsidRPr="00771EDA">
              <w:rPr>
                <w:rFonts w:ascii="Cambria" w:hAnsi="Cambria"/>
                <w:lang w:eastAsia="ja-JP"/>
              </w:rPr>
              <w:t> : Apprenants à partir de 16 ans</w:t>
            </w:r>
          </w:p>
          <w:p w:rsidR="00B37C78" w:rsidRPr="00771EDA" w:rsidRDefault="00B37C78" w:rsidP="005F73DF">
            <w:pPr>
              <w:rPr>
                <w:rFonts w:ascii="Cambria" w:hAnsi="Cambria"/>
                <w:lang w:eastAsia="ja-JP"/>
              </w:rPr>
            </w:pPr>
            <w:r w:rsidRPr="00771EDA">
              <w:rPr>
                <w:rFonts w:ascii="Cambria" w:hAnsi="Cambria"/>
                <w:color w:val="4F81BD"/>
                <w:lang w:eastAsia="ja-JP"/>
              </w:rPr>
              <w:t>Matériel</w:t>
            </w:r>
            <w:r w:rsidRPr="00771EDA">
              <w:rPr>
                <w:rFonts w:ascii="Cambria" w:hAnsi="Cambria"/>
                <w:lang w:eastAsia="ja-JP"/>
              </w:rPr>
              <w:t> :</w:t>
            </w:r>
          </w:p>
          <w:p w:rsidR="00B37C78" w:rsidRPr="00771EDA" w:rsidRDefault="00B37C78" w:rsidP="00771EDA">
            <w:pPr>
              <w:pStyle w:val="Paragraphedeliste"/>
              <w:numPr>
                <w:ilvl w:val="0"/>
                <w:numId w:val="4"/>
              </w:numPr>
              <w:rPr>
                <w:rFonts w:ascii="Cambria" w:hAnsi="Cambria"/>
                <w:lang w:eastAsia="ja-JP"/>
              </w:rPr>
            </w:pPr>
            <w:r w:rsidRPr="00771EDA">
              <w:rPr>
                <w:rFonts w:ascii="Cambria" w:hAnsi="Cambria"/>
                <w:lang w:eastAsia="ja-JP"/>
              </w:rPr>
              <w:t xml:space="preserve"> Aucun </w:t>
            </w:r>
          </w:p>
          <w:p w:rsidR="00B37C78" w:rsidRPr="00771EDA" w:rsidRDefault="00B37C78" w:rsidP="005F73DF">
            <w:pPr>
              <w:rPr>
                <w:rFonts w:ascii="Cambria" w:hAnsi="Cambria"/>
                <w:lang w:eastAsia="ja-JP"/>
              </w:rPr>
            </w:pPr>
            <w:r w:rsidRPr="00771EDA">
              <w:rPr>
                <w:rFonts w:ascii="Cambria" w:hAnsi="Cambria"/>
                <w:color w:val="4F81BD"/>
                <w:lang w:eastAsia="ja-JP"/>
              </w:rPr>
              <w:t>Durée totale</w:t>
            </w:r>
            <w:r w:rsidRPr="00771EDA">
              <w:rPr>
                <w:rFonts w:ascii="Cambria" w:hAnsi="Cambria"/>
                <w:lang w:eastAsia="ja-JP"/>
              </w:rPr>
              <w:t> : 50 à 100 minutes</w:t>
            </w:r>
          </w:p>
          <w:p w:rsidR="00B37C78" w:rsidRPr="00771EDA" w:rsidRDefault="00B37C78" w:rsidP="005F73DF">
            <w:pPr>
              <w:rPr>
                <w:rFonts w:ascii="Cambria" w:hAnsi="Cambria"/>
                <w:lang w:eastAsia="ja-JP"/>
              </w:rPr>
            </w:pPr>
            <w:r w:rsidRPr="00771EDA">
              <w:rPr>
                <w:rFonts w:ascii="Cambria" w:hAnsi="Cambria"/>
                <w:color w:val="4F81BD"/>
                <w:lang w:eastAsia="ja-JP"/>
              </w:rPr>
              <w:t>Nombre de séquences</w:t>
            </w:r>
            <w:r w:rsidRPr="00771EDA">
              <w:rPr>
                <w:rFonts w:ascii="Cambria" w:hAnsi="Cambria"/>
                <w:lang w:eastAsia="ja-JP"/>
              </w:rPr>
              <w:t> : 1</w:t>
            </w:r>
          </w:p>
        </w:tc>
      </w:tr>
    </w:tbl>
    <w:p w:rsidR="00B37C78" w:rsidRPr="005F73DF" w:rsidRDefault="00B37C78"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B37C78" w:rsidRPr="00771EDA" w:rsidTr="00771EDA">
        <w:tc>
          <w:tcPr>
            <w:tcW w:w="9546" w:type="dxa"/>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4F81BD"/>
                <w:lang w:eastAsia="ja-JP"/>
              </w:rPr>
            </w:pPr>
            <w:r w:rsidRPr="00771EDA">
              <w:rPr>
                <w:rFonts w:ascii="Cambria" w:hAnsi="Cambria"/>
                <w:color w:val="4F81BD"/>
                <w:lang w:eastAsia="ja-JP"/>
              </w:rPr>
              <w:t>Compétences :</w:t>
            </w:r>
          </w:p>
          <w:p w:rsidR="00B37C78" w:rsidRPr="00771EDA" w:rsidRDefault="00B37C78" w:rsidP="00771EDA">
            <w:pPr>
              <w:numPr>
                <w:ilvl w:val="0"/>
                <w:numId w:val="6"/>
              </w:numPr>
              <w:jc w:val="both"/>
            </w:pPr>
            <w:r w:rsidRPr="00771EDA">
              <w:t>Compétences relationnelles de la littératie médiatique</w:t>
            </w:r>
          </w:p>
          <w:p w:rsidR="00B37C78" w:rsidRPr="00771EDA" w:rsidRDefault="00B37C78" w:rsidP="00771EDA">
            <w:pPr>
              <w:numPr>
                <w:ilvl w:val="0"/>
                <w:numId w:val="6"/>
              </w:numPr>
              <w:jc w:val="both"/>
            </w:pPr>
            <w:r w:rsidRPr="00771EDA">
              <w:t>Compétences informationnelles de la littératie médiatique</w:t>
            </w:r>
          </w:p>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4F81BD"/>
                <w:lang w:eastAsia="ja-JP"/>
              </w:rPr>
            </w:pPr>
          </w:p>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r w:rsidRPr="00771EDA">
              <w:rPr>
                <w:rFonts w:ascii="Cambria" w:hAnsi="Cambria"/>
                <w:color w:val="4F81BD"/>
                <w:lang w:eastAsia="ja-JP"/>
              </w:rPr>
              <w:t>Objectifs</w:t>
            </w:r>
            <w:r w:rsidRPr="00771EDA">
              <w:rPr>
                <w:rFonts w:ascii="Cambria" w:hAnsi="Cambria" w:cs="Calibri"/>
                <w:b/>
                <w:bCs/>
                <w:color w:val="141413"/>
                <w:lang w:eastAsia="ja-JP"/>
              </w:rPr>
              <w:t> :</w:t>
            </w:r>
          </w:p>
          <w:p w:rsidR="00B37C78" w:rsidRPr="00771EDA" w:rsidRDefault="00B37C78" w:rsidP="00771EDA">
            <w:pPr>
              <w:pStyle w:val="Paragraphedeliste"/>
              <w:numPr>
                <w:ilvl w:val="0"/>
                <w:numId w:val="4"/>
              </w:numPr>
              <w:rPr>
                <w:rFonts w:ascii="Cambria" w:hAnsi="Cambria"/>
                <w:lang w:eastAsia="ja-JP"/>
              </w:rPr>
            </w:pPr>
            <w:r w:rsidRPr="00771EDA">
              <w:t>Identifier les différentes dimensions de la communication en œuvre dans le numérique (contenus et forme des messages, intention, énonciation, interlocuteurs, audience, réputation, interprétation, contexte…)</w:t>
            </w:r>
          </w:p>
          <w:p w:rsidR="00B37C78" w:rsidRPr="00771EDA" w:rsidRDefault="00B37C78" w:rsidP="00771EDA">
            <w:pPr>
              <w:pStyle w:val="Paragraphedeliste"/>
              <w:numPr>
                <w:ilvl w:val="0"/>
                <w:numId w:val="4"/>
              </w:numPr>
              <w:rPr>
                <w:rFonts w:ascii="Cambria" w:hAnsi="Cambria"/>
                <w:lang w:eastAsia="ja-JP"/>
              </w:rPr>
            </w:pPr>
            <w:r w:rsidRPr="00771EDA">
              <w:t>Comprendre leurs enjeux et conséquences possibles en termes de fiabilité et de socialisation et favoriser une réflexion sur cette base</w:t>
            </w:r>
          </w:p>
          <w:p w:rsidR="00B37C78" w:rsidRPr="00771EDA" w:rsidRDefault="00B37C78" w:rsidP="00771EDA">
            <w:pPr>
              <w:pStyle w:val="Paragraphedeliste"/>
              <w:numPr>
                <w:ilvl w:val="1"/>
                <w:numId w:val="4"/>
              </w:numPr>
              <w:rPr>
                <w:rFonts w:ascii="Cambria" w:hAnsi="Cambria"/>
                <w:lang w:eastAsia="ja-JP"/>
              </w:rPr>
            </w:pPr>
            <w:r w:rsidRPr="00771EDA">
              <w:t>apprendre à gérer et faire évoluer son identité numérique (en parallèle d’une réflexion par rapport à ses données personnelles) ;</w:t>
            </w:r>
          </w:p>
          <w:p w:rsidR="00B37C78" w:rsidRPr="00771EDA" w:rsidRDefault="00B37C78" w:rsidP="00771EDA">
            <w:pPr>
              <w:pStyle w:val="Paragraphedeliste"/>
              <w:numPr>
                <w:ilvl w:val="1"/>
                <w:numId w:val="4"/>
              </w:numPr>
              <w:rPr>
                <w:rFonts w:ascii="Cambria" w:hAnsi="Cambria"/>
                <w:lang w:eastAsia="ja-JP"/>
              </w:rPr>
            </w:pPr>
            <w:r w:rsidRPr="00771EDA">
              <w:t xml:space="preserve">réfléchir aux stratégies de communication de son identité et examiner comment on peut l'améliorer ; </w:t>
            </w:r>
          </w:p>
          <w:p w:rsidR="00B37C78" w:rsidRPr="00771EDA" w:rsidRDefault="00B37C78" w:rsidP="00771EDA">
            <w:pPr>
              <w:pStyle w:val="Paragraphedeliste"/>
              <w:numPr>
                <w:ilvl w:val="1"/>
                <w:numId w:val="4"/>
              </w:numPr>
              <w:rPr>
                <w:rFonts w:ascii="Cambria" w:hAnsi="Cambria"/>
                <w:lang w:eastAsia="ja-JP"/>
              </w:rPr>
            </w:pPr>
            <w:r w:rsidRPr="00771EDA">
              <w:t>apprendre à concevoir les médias en réseaux comme des outils de communication de soi ;</w:t>
            </w:r>
          </w:p>
          <w:p w:rsidR="00B37C78" w:rsidRPr="00771EDA" w:rsidRDefault="00B37C78" w:rsidP="00771EDA">
            <w:pPr>
              <w:pStyle w:val="Paragraphedeliste"/>
              <w:numPr>
                <w:ilvl w:val="1"/>
                <w:numId w:val="4"/>
              </w:numPr>
              <w:rPr>
                <w:rFonts w:ascii="Cambria" w:hAnsi="Cambria"/>
                <w:lang w:eastAsia="ja-JP"/>
              </w:rPr>
            </w:pPr>
            <w:r w:rsidRPr="00771EDA">
              <w:t>comprendre l’importance de la dimension contextuelle dans la communication, c’est-à-dire son impact sur l’interprétation des contenus, et par ce biais considérer la question de l’audience</w:t>
            </w:r>
          </w:p>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p>
        </w:tc>
      </w:tr>
    </w:tbl>
    <w:p w:rsidR="00B37C78" w:rsidRPr="005F73DF" w:rsidRDefault="00B37C78"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B37C78" w:rsidRPr="00771EDA" w:rsidTr="00771EDA">
        <w:trPr>
          <w:trHeight w:val="305"/>
        </w:trPr>
        <w:tc>
          <w:tcPr>
            <w:tcW w:w="9546" w:type="dxa"/>
            <w:tcBorders>
              <w:left w:val="single" w:sz="4" w:space="0" w:color="auto"/>
              <w:bottom w:val="single" w:sz="4" w:space="0" w:color="auto"/>
            </w:tcBorders>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r w:rsidRPr="00771EDA">
              <w:rPr>
                <w:rFonts w:ascii="Cambria" w:hAnsi="Cambria"/>
                <w:b/>
                <w:color w:val="4F81BD"/>
                <w:sz w:val="28"/>
                <w:lang w:eastAsia="ja-JP"/>
              </w:rPr>
              <w:t>Déroulement</w:t>
            </w:r>
            <w:r w:rsidRPr="00771EDA">
              <w:rPr>
                <w:rFonts w:ascii="Cambria" w:hAnsi="Cambria"/>
                <w:b/>
                <w:color w:val="4F81BD"/>
                <w:lang w:eastAsia="ja-JP"/>
              </w:rPr>
              <w:t xml:space="preserve"> </w:t>
            </w:r>
          </w:p>
        </w:tc>
      </w:tr>
      <w:tr w:rsidR="00B37C78" w:rsidRPr="00771EDA" w:rsidTr="00771EDA">
        <w:trPr>
          <w:trHeight w:val="576"/>
        </w:trPr>
        <w:tc>
          <w:tcPr>
            <w:tcW w:w="9546" w:type="dxa"/>
            <w:tcBorders>
              <w:top w:val="single" w:sz="4" w:space="0" w:color="auto"/>
              <w:left w:val="single" w:sz="4" w:space="0" w:color="auto"/>
              <w:bottom w:val="nil"/>
              <w:right w:val="single" w:sz="4" w:space="0" w:color="auto"/>
            </w:tcBorders>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4F81BD"/>
                <w:u w:val="single"/>
                <w:lang w:eastAsia="ja-JP"/>
              </w:rPr>
            </w:pPr>
            <w:bookmarkStart w:id="0" w:name="_GoBack"/>
            <w:r w:rsidRPr="00771EDA">
              <w:rPr>
                <w:rFonts w:ascii="Cambria" w:hAnsi="Cambria"/>
                <w:color w:val="4F81BD"/>
                <w:u w:val="single"/>
                <w:lang w:eastAsia="ja-JP"/>
              </w:rPr>
              <w:t xml:space="preserve">Partie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B37C78" w:rsidRPr="00771EDA" w:rsidTr="00771EDA">
              <w:tc>
                <w:tcPr>
                  <w:tcW w:w="5690" w:type="dxa"/>
                  <w:tcBorders>
                    <w:top w:val="single" w:sz="4" w:space="0" w:color="auto"/>
                    <w:left w:val="single" w:sz="4" w:space="0" w:color="000000"/>
                    <w:bottom w:val="single" w:sz="4" w:space="0" w:color="auto"/>
                    <w:right w:val="single" w:sz="4" w:space="0" w:color="auto"/>
                  </w:tcBorders>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r w:rsidRPr="00771EDA">
                    <w:rPr>
                      <w:rFonts w:ascii="Cambria" w:hAnsi="Cambria"/>
                      <w:color w:val="4F81BD"/>
                      <w:lang w:eastAsia="ja-JP"/>
                    </w:rPr>
                    <w:t>Type d’activité</w:t>
                  </w:r>
                  <w:r w:rsidRPr="00771EDA">
                    <w:rPr>
                      <w:rFonts w:ascii="Cambria" w:hAnsi="Cambria" w:cs="Calibri"/>
                      <w:color w:val="141413"/>
                      <w:lang w:eastAsia="ja-JP"/>
                    </w:rPr>
                    <w:t> : débat en groupe</w:t>
                  </w:r>
                </w:p>
              </w:tc>
              <w:tc>
                <w:tcPr>
                  <w:tcW w:w="3625" w:type="dxa"/>
                  <w:tcBorders>
                    <w:top w:val="single" w:sz="4" w:space="0" w:color="auto"/>
                    <w:left w:val="single" w:sz="4" w:space="0" w:color="auto"/>
                    <w:bottom w:val="single" w:sz="4" w:space="0" w:color="auto"/>
                    <w:right w:val="single" w:sz="4" w:space="0" w:color="000000"/>
                  </w:tcBorders>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Cambria" w:hAnsi="Cambria" w:cs="Calibri"/>
                      <w:b/>
                      <w:bCs/>
                      <w:color w:val="141413"/>
                      <w:lang w:eastAsia="ja-JP"/>
                    </w:rPr>
                  </w:pPr>
                  <w:r w:rsidRPr="00771EDA">
                    <w:rPr>
                      <w:rFonts w:ascii="Cambria" w:hAnsi="Cambria"/>
                      <w:color w:val="4F81BD"/>
                      <w:lang w:eastAsia="ja-JP"/>
                    </w:rPr>
                    <w:t>Timing</w:t>
                  </w:r>
                  <w:r w:rsidRPr="00771EDA">
                    <w:rPr>
                      <w:rFonts w:ascii="Cambria" w:hAnsi="Cambria" w:cs="Calibri"/>
                      <w:color w:val="141413"/>
                      <w:lang w:eastAsia="ja-JP"/>
                    </w:rPr>
                    <w:t> : 25 à 50  minutes</w:t>
                  </w:r>
                </w:p>
              </w:tc>
            </w:tr>
          </w:tbl>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p>
          <w:p w:rsidR="00B37C78" w:rsidRPr="00771EDA" w:rsidRDefault="00B37C78" w:rsidP="00771EDA">
            <w:pPr>
              <w:jc w:val="both"/>
            </w:pPr>
            <w:r w:rsidRPr="00771EDA">
              <w:t>Débat aidant à faire émerger des thématiques relatives à la communication, et en particulier à ses formes numériques.</w:t>
            </w:r>
          </w:p>
          <w:p w:rsidR="00B37C78" w:rsidRPr="00771EDA" w:rsidRDefault="00B37C78" w:rsidP="00771EDA">
            <w:pPr>
              <w:jc w:val="both"/>
            </w:pPr>
          </w:p>
          <w:p w:rsidR="00B37C78" w:rsidRPr="00771EDA" w:rsidRDefault="00B37C78" w:rsidP="00771EDA">
            <w:pPr>
              <w:jc w:val="both"/>
            </w:pPr>
            <w:r w:rsidRPr="00771EDA">
              <w:t>Plusieurs questions peuvent permettre de guider cette réflexion :</w:t>
            </w:r>
          </w:p>
          <w:p w:rsidR="00B37C78" w:rsidRPr="00771EDA" w:rsidRDefault="00B37C78" w:rsidP="00771EDA">
            <w:pPr>
              <w:numPr>
                <w:ilvl w:val="0"/>
                <w:numId w:val="5"/>
              </w:numPr>
              <w:jc w:val="both"/>
            </w:pPr>
            <w:r w:rsidRPr="00771EDA">
              <w:t xml:space="preserve">Comment envisagez-vous votre audience lorsque vous communiquez en ligne (via un réseau social, par exemple) ? Qui est-elle ? Avec qui communiquez-vous ? Qui voit vos publications, vos </w:t>
            </w:r>
            <w:r w:rsidRPr="00771EDA">
              <w:rPr>
                <w:i/>
              </w:rPr>
              <w:t>tweets</w:t>
            </w:r>
            <w:r w:rsidRPr="00771EDA">
              <w:t xml:space="preserve"> ou encore vos statuts ?</w:t>
            </w:r>
          </w:p>
          <w:p w:rsidR="00B37C78" w:rsidRPr="00771EDA" w:rsidRDefault="00B37C78" w:rsidP="00771EDA">
            <w:pPr>
              <w:numPr>
                <w:ilvl w:val="0"/>
                <w:numId w:val="5"/>
              </w:numPr>
              <w:jc w:val="both"/>
            </w:pPr>
            <w:r w:rsidRPr="00771EDA">
              <w:t xml:space="preserve">Quelle est l’audience que vous souhaitez ? </w:t>
            </w:r>
          </w:p>
          <w:p w:rsidR="00B37C78" w:rsidRPr="00771EDA" w:rsidRDefault="00B37C78" w:rsidP="00771EDA">
            <w:pPr>
              <w:numPr>
                <w:ilvl w:val="0"/>
                <w:numId w:val="5"/>
              </w:numPr>
              <w:jc w:val="both"/>
            </w:pPr>
            <w:r w:rsidRPr="00771EDA">
              <w:lastRenderedPageBreak/>
              <w:t>Que souhaitez-vous communiquer à vos publics ? Que leur partagez-vous ?</w:t>
            </w:r>
          </w:p>
          <w:p w:rsidR="00B37C78" w:rsidRPr="00771EDA" w:rsidRDefault="00B37C78" w:rsidP="00771EDA">
            <w:pPr>
              <w:numPr>
                <w:ilvl w:val="0"/>
                <w:numId w:val="5"/>
              </w:numPr>
              <w:jc w:val="both"/>
            </w:pPr>
            <w:r w:rsidRPr="00771EDA">
              <w:t>Quels moyens utilisez-vous pour ce faire ? S’agit-il de statuts, de tweets, de posts de blogs, d’interventions sur des forums, de vidéos ou de podcasts ?</w:t>
            </w:r>
          </w:p>
          <w:p w:rsidR="00B37C78" w:rsidRPr="00771EDA" w:rsidRDefault="00B37C78" w:rsidP="00771EDA">
            <w:pPr>
              <w:numPr>
                <w:ilvl w:val="0"/>
                <w:numId w:val="5"/>
              </w:numPr>
              <w:jc w:val="both"/>
            </w:pPr>
            <w:r w:rsidRPr="00771EDA">
              <w:t>Estimez-vous vous faire comprendre ? Qu’interprètent à votre avis ceux qui voient ou entendent ce que vous produisez ?</w:t>
            </w:r>
          </w:p>
          <w:p w:rsidR="00B37C78" w:rsidRPr="00771EDA" w:rsidRDefault="00B37C78" w:rsidP="00771EDA">
            <w:pPr>
              <w:numPr>
                <w:ilvl w:val="0"/>
                <w:numId w:val="5"/>
              </w:numPr>
              <w:jc w:val="both"/>
            </w:pPr>
            <w:r w:rsidRPr="00771EDA">
              <w:t>Quelles sont les difficultés que vous rencontrez à communiquer / interagir en ligne ?</w:t>
            </w:r>
          </w:p>
          <w:p w:rsidR="00B37C78" w:rsidRPr="00771EDA" w:rsidRDefault="00B37C78" w:rsidP="00771EDA">
            <w:pPr>
              <w:numPr>
                <w:ilvl w:val="0"/>
                <w:numId w:val="5"/>
              </w:numPr>
              <w:jc w:val="both"/>
            </w:pPr>
            <w:r w:rsidRPr="00771EDA">
              <w:t>Quels sont les avantages et les éléments qui facilitent les interactions selon vous ?</w:t>
            </w:r>
          </w:p>
          <w:p w:rsidR="00B37C78" w:rsidRPr="00771EDA" w:rsidRDefault="00B37C78" w:rsidP="00771EDA">
            <w:pPr>
              <w:numPr>
                <w:ilvl w:val="0"/>
                <w:numId w:val="5"/>
              </w:numPr>
              <w:jc w:val="both"/>
            </w:pPr>
            <w:r w:rsidRPr="00771EDA">
              <w:t>Que partagent les autres à votre sujet ? Quelle est votre réaction face à cela ?</w:t>
            </w:r>
          </w:p>
          <w:p w:rsidR="00B37C78" w:rsidRPr="00771EDA" w:rsidRDefault="00B37C78" w:rsidP="00771EDA">
            <w:pPr>
              <w:numPr>
                <w:ilvl w:val="0"/>
                <w:numId w:val="5"/>
              </w:numPr>
              <w:jc w:val="both"/>
            </w:pPr>
            <w:r w:rsidRPr="00771EDA">
              <w:t xml:space="preserve">… </w:t>
            </w:r>
          </w:p>
          <w:p w:rsidR="00B37C78" w:rsidRPr="00771EDA" w:rsidRDefault="00B37C78" w:rsidP="00771EDA">
            <w:pPr>
              <w:jc w:val="both"/>
            </w:pPr>
          </w:p>
          <w:p w:rsidR="00B37C78" w:rsidRPr="00771EDA" w:rsidRDefault="00B37C78" w:rsidP="00771EDA">
            <w:pPr>
              <w:jc w:val="both"/>
            </w:pPr>
            <w:r w:rsidRPr="00771EDA">
              <w:t>Ces questions permettent de lister plusieurs constantes et de dévoiler certaines tensions, comme le fait qu’une audience peut être choisie ou subie, plus ou moins « muette », qu’elle peut mal interpréter des propos sortis ou éloignés de leur contexte d’énonciation (manquant par ailleurs parfois des éléments « classiques » de l’énonciation : dimension non verbale, par exemple), etc.</w:t>
            </w:r>
          </w:p>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p>
        </w:tc>
      </w:tr>
      <w:tr w:rsidR="00B37C78" w:rsidRPr="00771EDA" w:rsidTr="00771EDA">
        <w:trPr>
          <w:trHeight w:val="567"/>
        </w:trPr>
        <w:tc>
          <w:tcPr>
            <w:tcW w:w="9546" w:type="dxa"/>
            <w:tcBorders>
              <w:top w:val="nil"/>
              <w:left w:val="single" w:sz="4" w:space="0" w:color="auto"/>
              <w:bottom w:val="single" w:sz="4" w:space="0" w:color="auto"/>
              <w:right w:val="single" w:sz="4" w:space="0" w:color="auto"/>
            </w:tcBorders>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4F81BD"/>
                <w:u w:val="single"/>
                <w:lang w:eastAsia="ja-JP"/>
              </w:rPr>
            </w:pPr>
            <w:r w:rsidRPr="00771EDA">
              <w:rPr>
                <w:rFonts w:ascii="Cambria" w:hAnsi="Cambria"/>
                <w:color w:val="4F81BD"/>
                <w:u w:val="single"/>
                <w:lang w:eastAsia="ja-JP"/>
              </w:rPr>
              <w:lastRenderedPageBreak/>
              <w:t xml:space="preserve">Partie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B37C78" w:rsidRPr="00771EDA" w:rsidTr="00771EDA">
              <w:tc>
                <w:tcPr>
                  <w:tcW w:w="5690" w:type="dxa"/>
                  <w:tcBorders>
                    <w:top w:val="single" w:sz="4" w:space="0" w:color="auto"/>
                    <w:left w:val="single" w:sz="4" w:space="0" w:color="000000"/>
                    <w:bottom w:val="single" w:sz="4" w:space="0" w:color="auto"/>
                    <w:right w:val="single" w:sz="4" w:space="0" w:color="auto"/>
                  </w:tcBorders>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r w:rsidRPr="00771EDA">
                    <w:rPr>
                      <w:rFonts w:ascii="Cambria" w:hAnsi="Cambria" w:cs="Calibri"/>
                      <w:color w:val="141413"/>
                      <w:lang w:eastAsia="ja-JP"/>
                    </w:rPr>
                    <w:t xml:space="preserve"> </w:t>
                  </w:r>
                  <w:r w:rsidRPr="00771EDA">
                    <w:rPr>
                      <w:rFonts w:ascii="Cambria" w:hAnsi="Cambria"/>
                      <w:color w:val="4F81BD"/>
                      <w:lang w:eastAsia="ja-JP"/>
                    </w:rPr>
                    <w:t>Type d’activité</w:t>
                  </w:r>
                  <w:r w:rsidRPr="00771EDA">
                    <w:rPr>
                      <w:rFonts w:ascii="Cambria" w:hAnsi="Cambria" w:cs="Calibri"/>
                      <w:color w:val="141413"/>
                      <w:lang w:eastAsia="ja-JP"/>
                    </w:rPr>
                    <w:t> : travail individuel puis retour en grand groupe</w:t>
                  </w:r>
                </w:p>
              </w:tc>
              <w:tc>
                <w:tcPr>
                  <w:tcW w:w="3625" w:type="dxa"/>
                  <w:tcBorders>
                    <w:top w:val="single" w:sz="4" w:space="0" w:color="auto"/>
                    <w:left w:val="single" w:sz="4" w:space="0" w:color="auto"/>
                    <w:bottom w:val="single" w:sz="4" w:space="0" w:color="auto"/>
                    <w:right w:val="single" w:sz="4" w:space="0" w:color="000000"/>
                  </w:tcBorders>
                </w:tcPr>
                <w:p w:rsidR="00B37C78" w:rsidRPr="00771EDA" w:rsidRDefault="00B37C78" w:rsidP="0077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Cambria" w:hAnsi="Cambria" w:cs="Calibri"/>
                      <w:b/>
                      <w:bCs/>
                      <w:color w:val="141413"/>
                      <w:lang w:eastAsia="ja-JP"/>
                    </w:rPr>
                  </w:pPr>
                  <w:r w:rsidRPr="00771EDA">
                    <w:rPr>
                      <w:rFonts w:ascii="Cambria" w:hAnsi="Cambria"/>
                      <w:color w:val="4F81BD"/>
                      <w:lang w:eastAsia="ja-JP"/>
                    </w:rPr>
                    <w:t>Timing</w:t>
                  </w:r>
                  <w:r w:rsidRPr="00771EDA">
                    <w:rPr>
                      <w:rFonts w:ascii="Cambria" w:hAnsi="Cambria" w:cs="Calibri"/>
                      <w:color w:val="141413"/>
                      <w:lang w:eastAsia="ja-JP"/>
                    </w:rPr>
                    <w:t> : 25 à 50  minutes</w:t>
                  </w:r>
                </w:p>
              </w:tc>
            </w:tr>
          </w:tbl>
          <w:p w:rsidR="00B37C78" w:rsidRPr="00771EDA" w:rsidRDefault="00B37C78" w:rsidP="00771EDA">
            <w:pPr>
              <w:jc w:val="both"/>
            </w:pPr>
          </w:p>
          <w:p w:rsidR="00B37C78" w:rsidRPr="00771EDA" w:rsidRDefault="00B37C78" w:rsidP="00771EDA">
            <w:pPr>
              <w:jc w:val="both"/>
            </w:pPr>
            <w:r w:rsidRPr="00771EDA">
              <w:t>Dans un second temps, chacun réfléchit individuellement à toutes les dimensions de la communication qui ont été abordées. Une mise en commun en grand groupe a lieu sous forme d’un panel de thématiques et de pistes de questionnements (et non sous forme de recommandations normatives par rapport à celles-ci).</w:t>
            </w:r>
          </w:p>
          <w:p w:rsidR="00B37C78" w:rsidRPr="00771EDA" w:rsidRDefault="00B37C78" w:rsidP="00771EDA">
            <w:pPr>
              <w:jc w:val="both"/>
            </w:pPr>
          </w:p>
          <w:p w:rsidR="00B37C78" w:rsidRPr="00771EDA" w:rsidRDefault="00B37C78" w:rsidP="00771EDA">
            <w:pPr>
              <w:jc w:val="both"/>
            </w:pPr>
            <w:r w:rsidRPr="00771EDA">
              <w:t>Les thématiques en question sont notamment :</w:t>
            </w:r>
          </w:p>
          <w:p w:rsidR="00B37C78" w:rsidRPr="00771EDA" w:rsidRDefault="00B37C78" w:rsidP="00771EDA">
            <w:pPr>
              <w:numPr>
                <w:ilvl w:val="0"/>
                <w:numId w:val="5"/>
              </w:numPr>
              <w:jc w:val="both"/>
            </w:pPr>
            <w:r w:rsidRPr="00771EDA">
              <w:t>Intention de celui ou celle qui émet un contenu, partage</w:t>
            </w:r>
          </w:p>
          <w:p w:rsidR="00B37C78" w:rsidRPr="00771EDA" w:rsidRDefault="00B37C78" w:rsidP="00771EDA">
            <w:pPr>
              <w:numPr>
                <w:ilvl w:val="0"/>
                <w:numId w:val="5"/>
              </w:numPr>
              <w:jc w:val="both"/>
            </w:pPr>
            <w:r w:rsidRPr="00771EDA">
              <w:t>Contenu et forme des messages</w:t>
            </w:r>
          </w:p>
          <w:p w:rsidR="00B37C78" w:rsidRPr="00771EDA" w:rsidRDefault="00B37C78" w:rsidP="00771EDA">
            <w:pPr>
              <w:numPr>
                <w:ilvl w:val="0"/>
                <w:numId w:val="5"/>
              </w:numPr>
              <w:jc w:val="both"/>
            </w:pPr>
            <w:r w:rsidRPr="00771EDA">
              <w:t>Mode d’expression, canal</w:t>
            </w:r>
          </w:p>
          <w:p w:rsidR="00B37C78" w:rsidRPr="00771EDA" w:rsidRDefault="00B37C78" w:rsidP="00771EDA">
            <w:pPr>
              <w:numPr>
                <w:ilvl w:val="0"/>
                <w:numId w:val="5"/>
              </w:numPr>
              <w:jc w:val="both"/>
            </w:pPr>
            <w:r w:rsidRPr="00771EDA">
              <w:t>Enonciation</w:t>
            </w:r>
          </w:p>
          <w:p w:rsidR="00B37C78" w:rsidRPr="00771EDA" w:rsidRDefault="00B37C78" w:rsidP="00771EDA">
            <w:pPr>
              <w:numPr>
                <w:ilvl w:val="0"/>
                <w:numId w:val="5"/>
              </w:numPr>
              <w:jc w:val="both"/>
            </w:pPr>
            <w:r w:rsidRPr="00771EDA">
              <w:t>Interlocuteur</w:t>
            </w:r>
            <w:r>
              <w:t xml:space="preserve">s (« destinateur/destinataire », « émetteur ou producteur/récepteur » </w:t>
            </w:r>
            <w:r w:rsidRPr="00771EDA">
              <w:t>ou autre appellation conventionnelle)</w:t>
            </w:r>
          </w:p>
          <w:p w:rsidR="00B37C78" w:rsidRPr="00771EDA" w:rsidRDefault="00B37C78" w:rsidP="00771EDA">
            <w:pPr>
              <w:numPr>
                <w:ilvl w:val="0"/>
                <w:numId w:val="5"/>
              </w:numPr>
              <w:jc w:val="both"/>
            </w:pPr>
            <w:r w:rsidRPr="00771EDA">
              <w:t>Audience, public (voulu ou non, conscient ou non, ciblé ou non)</w:t>
            </w:r>
          </w:p>
          <w:p w:rsidR="00B37C78" w:rsidRPr="00771EDA" w:rsidRDefault="00B37C78" w:rsidP="00771EDA">
            <w:pPr>
              <w:numPr>
                <w:ilvl w:val="1"/>
                <w:numId w:val="5"/>
              </w:numPr>
              <w:jc w:val="both"/>
            </w:pPr>
            <w:r w:rsidRPr="00771EDA">
              <w:t>Cible</w:t>
            </w:r>
          </w:p>
          <w:p w:rsidR="00B37C78" w:rsidRPr="00771EDA" w:rsidRDefault="00B37C78" w:rsidP="00771EDA">
            <w:pPr>
              <w:numPr>
                <w:ilvl w:val="0"/>
                <w:numId w:val="5"/>
              </w:numPr>
              <w:jc w:val="both"/>
            </w:pPr>
            <w:r w:rsidRPr="00771EDA">
              <w:t>Réputation</w:t>
            </w:r>
          </w:p>
          <w:p w:rsidR="00B37C78" w:rsidRPr="00771EDA" w:rsidRDefault="00B37C78" w:rsidP="00771EDA">
            <w:pPr>
              <w:numPr>
                <w:ilvl w:val="0"/>
                <w:numId w:val="5"/>
              </w:numPr>
              <w:jc w:val="both"/>
            </w:pPr>
            <w:r w:rsidRPr="00771EDA">
              <w:t>Contexte</w:t>
            </w:r>
          </w:p>
          <w:p w:rsidR="00B37C78" w:rsidRPr="00771EDA" w:rsidRDefault="00B37C78" w:rsidP="00771EDA">
            <w:pPr>
              <w:numPr>
                <w:ilvl w:val="0"/>
                <w:numId w:val="5"/>
              </w:numPr>
              <w:jc w:val="both"/>
            </w:pPr>
            <w:r w:rsidRPr="00771EDA">
              <w:t>Langage, règles et codes spécifiques</w:t>
            </w:r>
          </w:p>
          <w:p w:rsidR="00B37C78" w:rsidRPr="00771EDA" w:rsidRDefault="00B37C78" w:rsidP="00771EDA">
            <w:pPr>
              <w:numPr>
                <w:ilvl w:val="0"/>
                <w:numId w:val="5"/>
              </w:numPr>
              <w:jc w:val="both"/>
            </w:pPr>
            <w:r w:rsidRPr="00771EDA">
              <w:t>Interprétation du message</w:t>
            </w:r>
          </w:p>
          <w:p w:rsidR="00B37C78" w:rsidRPr="00771EDA" w:rsidRDefault="00B37C78" w:rsidP="00771EDA">
            <w:pPr>
              <w:numPr>
                <w:ilvl w:val="0"/>
                <w:numId w:val="5"/>
              </w:numPr>
              <w:jc w:val="both"/>
            </w:pPr>
            <w:r w:rsidRPr="00771EDA">
              <w:t>Effets</w:t>
            </w:r>
          </w:p>
          <w:p w:rsidR="00B37C78" w:rsidRPr="00771EDA" w:rsidRDefault="00B37C78" w:rsidP="00771EDA">
            <w:pPr>
              <w:numPr>
                <w:ilvl w:val="0"/>
                <w:numId w:val="5"/>
              </w:numPr>
              <w:jc w:val="both"/>
            </w:pPr>
            <w:r w:rsidRPr="00771EDA">
              <w:t xml:space="preserve">… </w:t>
            </w:r>
          </w:p>
          <w:p w:rsidR="00B37C78" w:rsidRPr="00771EDA" w:rsidRDefault="00B37C78" w:rsidP="00771ED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color w:val="141413"/>
                <w:lang w:eastAsia="ja-JP"/>
              </w:rPr>
            </w:pPr>
          </w:p>
          <w:p w:rsidR="00B37C78" w:rsidRPr="00771EDA" w:rsidRDefault="00B37C78" w:rsidP="00771EDA">
            <w:pPr>
              <w:pStyle w:val="Paragraphedeliste"/>
              <w:numPr>
                <w:ilvl w:val="0"/>
                <w:numId w:val="8"/>
              </w:numPr>
            </w:pPr>
            <w:r w:rsidRPr="00771EDA">
              <w:t>Ces dimensions ont plusieurs impacts, à la fois en première personne (lorsque je produis, partage, diffuse des contenus), notamment lorsqu’il est question d’identité numérique et de socialisation ; et à la fois lors de l’évaluation d’une information (panel de dimensions à questionner pour juger de la fiabilité d’un document).</w:t>
            </w:r>
            <w:r w:rsidRPr="00771EDA">
              <w:br/>
              <w:t>Elles sont présentes aussi dans la vie « IRL ».</w:t>
            </w:r>
          </w:p>
          <w:p w:rsidR="00B37C78" w:rsidRPr="00771EDA" w:rsidRDefault="00B37C78" w:rsidP="001C0789"/>
          <w:p w:rsidR="00B37C78" w:rsidRDefault="00B37C78" w:rsidP="00771EDA">
            <w:pPr>
              <w:jc w:val="both"/>
            </w:pPr>
            <w:r w:rsidRPr="00771EDA">
              <w:t>Par la suite, on peut envisager d’analyser une situation-problème sur base des dimensions relevées.</w:t>
            </w:r>
          </w:p>
          <w:p w:rsidR="00B37C78" w:rsidRDefault="00B37C78" w:rsidP="00771EDA">
            <w:pPr>
              <w:jc w:val="both"/>
            </w:pPr>
            <w:r>
              <w:t>En focalisant l’attention sur base de ces critères pour identifier chaque « partie prenante » d’une situation donnée, on peut ainsi constater la présence de différents acteurs et intermédiaires plus spécifiques en fonction des différents médias.</w:t>
            </w:r>
          </w:p>
          <w:p w:rsidR="00B37C78" w:rsidRDefault="00B37C78" w:rsidP="00C92155">
            <w:pPr>
              <w:numPr>
                <w:ilvl w:val="0"/>
                <w:numId w:val="9"/>
              </w:numPr>
              <w:jc w:val="both"/>
            </w:pPr>
            <w:r>
              <w:t xml:space="preserve">Par exemple, dans le monde de l’édition (livre), au niveau de la production, il y a les auteurs, mais aussi les éditeurs, les intermédiaires que l’on appelle distributeurs et diffuseurs (gestion des stocks, promotion, stockage, etc.), et enfin ceux qui vendent les livres (libraires, grandes surfaces pour certains livres…), etc. </w:t>
            </w:r>
          </w:p>
          <w:p w:rsidR="00B37C78" w:rsidRDefault="00B37C78" w:rsidP="00C92155">
            <w:pPr>
              <w:numPr>
                <w:ilvl w:val="0"/>
                <w:numId w:val="9"/>
              </w:numPr>
              <w:jc w:val="both"/>
            </w:pPr>
            <w:r>
              <w:t xml:space="preserve">En ce qui concerne Internet, il y a également ceux qui produisent du contenu sur une page web en tant qu’auteurs, mais aussi ceux à qui appartiennent les sites (noms de domaine et exploitation), éventuellement les CMS / LMS (Wordpress, Spip, Drupal, Claroline, Moodle…), les hébergeurs, ceux qui rediffusent ces pages (via les réseaux sociaux), etc. </w:t>
            </w:r>
          </w:p>
          <w:p w:rsidR="00B37C78" w:rsidRPr="00771EDA" w:rsidRDefault="00B37C78" w:rsidP="00C92155">
            <w:pPr>
              <w:numPr>
                <w:ilvl w:val="0"/>
                <w:numId w:val="9"/>
              </w:numPr>
              <w:jc w:val="both"/>
            </w:pPr>
            <w:r>
              <w:t>…</w:t>
            </w:r>
          </w:p>
        </w:tc>
      </w:tr>
      <w:bookmarkEnd w:id="0"/>
    </w:tbl>
    <w:p w:rsidR="00B37C78" w:rsidRPr="005F73DF" w:rsidRDefault="00B37C78" w:rsidP="001C0789">
      <w:pPr>
        <w:rPr>
          <w:rFonts w:ascii="Cambria" w:hAnsi="Cambria"/>
        </w:rPr>
      </w:pPr>
    </w:p>
    <w:sectPr w:rsidR="00B37C78" w:rsidRPr="005F73DF" w:rsidSect="00F21374">
      <w:foot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7E" w:rsidRDefault="00FA427E" w:rsidP="00FD427C">
      <w:r>
        <w:separator/>
      </w:r>
    </w:p>
  </w:endnote>
  <w:endnote w:type="continuationSeparator" w:id="0">
    <w:p w:rsidR="00FA427E" w:rsidRDefault="00FA427E" w:rsidP="00FD4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8" w:rsidRDefault="004E75B7">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49" type="#_x0000_t75" alt="logomedia fond [320x200].png" style="position:absolute;margin-left:-30.35pt;margin-top:-11.95pt;width:73.8pt;height:48pt;z-index:3;visibility:visible">
          <v:imagedata r:id="rId1" o:title="" cropbottom="20597f"/>
          <w10:wrap type="square"/>
        </v:shape>
      </w:pict>
    </w:r>
    <w:r>
      <w:rPr>
        <w:noProof/>
      </w:rPr>
      <w:pict>
        <v:rect id="Rectangle 7" o:spid="_x0000_s2050" style="position:absolute;margin-left:150.65pt;margin-top:748.65pt;width:326.85pt;height:21.6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style="mso-next-textbox:#Rectangle 7">
            <w:txbxContent>
              <w:p w:rsidR="00B37C78" w:rsidRPr="00771EDA" w:rsidRDefault="004E75B7" w:rsidP="00FD427C">
                <w:pPr>
                  <w:pStyle w:val="En-tte"/>
                  <w:rPr>
                    <w:color w:val="FFFFFF"/>
                    <w:lang w:val="fr-BE"/>
                  </w:rPr>
                </w:pPr>
                <w:r w:rsidRPr="004E75B7">
                  <w:rPr>
                    <w:noProof/>
                    <w:color w:val="FFFFFF"/>
                    <w:spacing w:val="60"/>
                  </w:rPr>
                  <w:pict>
                    <v:shape id="Image 1" o:spid="_x0000_i1025" type="#_x0000_t75" style="width:309.75pt;height:20.25pt;visibility:visible">
                      <v:imagedata r:id="rId2" o:title=""/>
                    </v:shape>
                  </w:pict>
                </w:r>
              </w:p>
            </w:txbxContent>
          </v:textbox>
          <w10:wrap anchorx="page" anchory="margin"/>
        </v:rect>
      </w:pict>
    </w:r>
    <w:r>
      <w:rPr>
        <w:noProof/>
      </w:rPr>
      <w:pict>
        <v:rect id="Rectangle 8" o:spid="_x0000_s2051" style="position:absolute;margin-left:481.25pt;margin-top:748.65pt;width:105.1pt;height:21.6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style="mso-next-textbox:#Rectangle 8">
            <w:txbxContent>
              <w:p w:rsidR="00B37C78" w:rsidRPr="00771EDA" w:rsidRDefault="00B37C78" w:rsidP="00FD427C">
                <w:pPr>
                  <w:pStyle w:val="Pieddepage"/>
                  <w:rPr>
                    <w:color w:val="FFFFFF"/>
                  </w:rPr>
                </w:pPr>
                <w:r w:rsidRPr="00771EDA">
                  <w:rPr>
                    <w:color w:val="FFFFFF"/>
                  </w:rPr>
                  <w:t xml:space="preserve">Page </w:t>
                </w:r>
                <w:fldSimple w:instr=" PAGE   \* MERGEFORMAT ">
                  <w:r w:rsidR="004E2C12" w:rsidRPr="004E2C12">
                    <w:rPr>
                      <w:noProof/>
                      <w:color w:val="FFFFFF"/>
                    </w:rPr>
                    <w:t>2</w:t>
                  </w:r>
                </w:fldSimple>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7E" w:rsidRDefault="00FA427E" w:rsidP="00FD427C">
      <w:r>
        <w:separator/>
      </w:r>
    </w:p>
  </w:footnote>
  <w:footnote w:type="continuationSeparator" w:id="0">
    <w:p w:rsidR="00FA427E" w:rsidRDefault="00FA427E" w:rsidP="00FD4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B70AA0"/>
    <w:multiLevelType w:val="hybridMultilevel"/>
    <w:tmpl w:val="AEC06EB4"/>
    <w:lvl w:ilvl="0" w:tplc="F4309AA4">
      <w:start w:val="1"/>
      <w:numFmt w:val="bullet"/>
      <w:lvlText w:val=""/>
      <w:lvlJc w:val="left"/>
      <w:pPr>
        <w:tabs>
          <w:tab w:val="num" w:pos="720"/>
        </w:tabs>
        <w:ind w:left="720" w:hanging="360"/>
      </w:pPr>
      <w:rPr>
        <w:rFonts w:ascii="Wingdings" w:hAnsi="Wingdings" w:hint="default"/>
        <w:color w:val="4F81BD"/>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F64B5A"/>
    <w:multiLevelType w:val="hybridMultilevel"/>
    <w:tmpl w:val="E0A00A94"/>
    <w:lvl w:ilvl="0" w:tplc="309E9B80">
      <w:start w:val="1"/>
      <w:numFmt w:val="bullet"/>
      <w:lvlText w:val="-"/>
      <w:lvlJc w:val="left"/>
      <w:pPr>
        <w:tabs>
          <w:tab w:val="num" w:pos="720"/>
        </w:tabs>
        <w:ind w:left="720" w:hanging="360"/>
      </w:pPr>
      <w:rPr>
        <w:rFonts w:ascii="Century" w:eastAsia="Times New Roman" w:hAnsi="Century"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23962AC"/>
    <w:multiLevelType w:val="hybridMultilevel"/>
    <w:tmpl w:val="0FF69C6C"/>
    <w:lvl w:ilvl="0" w:tplc="F4309AA4">
      <w:start w:val="1"/>
      <w:numFmt w:val="bullet"/>
      <w:lvlText w:val=""/>
      <w:lvlJc w:val="left"/>
      <w:pPr>
        <w:ind w:left="720" w:hanging="360"/>
      </w:pPr>
      <w:rPr>
        <w:rFonts w:ascii="Wingdings" w:hAnsi="Wingdings" w:hint="default"/>
        <w:color w:val="4F81BD"/>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44010F7"/>
    <w:multiLevelType w:val="hybridMultilevel"/>
    <w:tmpl w:val="61E87188"/>
    <w:lvl w:ilvl="0" w:tplc="BFB4E416">
      <w:start w:val="1"/>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502269E1"/>
    <w:multiLevelType w:val="hybridMultilevel"/>
    <w:tmpl w:val="47FE3D1A"/>
    <w:lvl w:ilvl="0" w:tplc="309E9B80">
      <w:start w:val="1"/>
      <w:numFmt w:val="bullet"/>
      <w:lvlText w:val="-"/>
      <w:lvlJc w:val="left"/>
      <w:pPr>
        <w:tabs>
          <w:tab w:val="num" w:pos="720"/>
        </w:tabs>
        <w:ind w:left="720" w:hanging="360"/>
      </w:pPr>
      <w:rPr>
        <w:rFonts w:ascii="Century" w:eastAsia="Times New Roman" w:hAnsi="Century"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5950360"/>
    <w:multiLevelType w:val="hybridMultilevel"/>
    <w:tmpl w:val="E8E08F18"/>
    <w:lvl w:ilvl="0" w:tplc="1916BE5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374"/>
    <w:rsid w:val="00021491"/>
    <w:rsid w:val="00105056"/>
    <w:rsid w:val="001C0789"/>
    <w:rsid w:val="001D0A5D"/>
    <w:rsid w:val="0028250F"/>
    <w:rsid w:val="00386D3B"/>
    <w:rsid w:val="003D719B"/>
    <w:rsid w:val="003E3862"/>
    <w:rsid w:val="004E2C12"/>
    <w:rsid w:val="004E75B7"/>
    <w:rsid w:val="005D21B2"/>
    <w:rsid w:val="005F73DF"/>
    <w:rsid w:val="00626B6B"/>
    <w:rsid w:val="0075720D"/>
    <w:rsid w:val="00771EDA"/>
    <w:rsid w:val="0079203B"/>
    <w:rsid w:val="008408FC"/>
    <w:rsid w:val="00856EA0"/>
    <w:rsid w:val="008C3C06"/>
    <w:rsid w:val="008E6200"/>
    <w:rsid w:val="009D0EC0"/>
    <w:rsid w:val="009F5E04"/>
    <w:rsid w:val="00A34F44"/>
    <w:rsid w:val="00B37C78"/>
    <w:rsid w:val="00B72953"/>
    <w:rsid w:val="00C713C1"/>
    <w:rsid w:val="00C92155"/>
    <w:rsid w:val="00CA3F94"/>
    <w:rsid w:val="00D24C7D"/>
    <w:rsid w:val="00D66007"/>
    <w:rsid w:val="00D72DDD"/>
    <w:rsid w:val="00E66AB0"/>
    <w:rsid w:val="00F21374"/>
    <w:rsid w:val="00FA427E"/>
    <w:rsid w:val="00FB768A"/>
    <w:rsid w:val="00FD42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94"/>
    <w:rPr>
      <w:sz w:val="24"/>
      <w:szCs w:val="24"/>
    </w:rPr>
  </w:style>
  <w:style w:type="paragraph" w:styleId="Titre1">
    <w:name w:val="heading 1"/>
    <w:basedOn w:val="Normal"/>
    <w:next w:val="Normal"/>
    <w:link w:val="Titre1Car"/>
    <w:uiPriority w:val="99"/>
    <w:qFormat/>
    <w:rsid w:val="00C713C1"/>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713C1"/>
    <w:rPr>
      <w:rFonts w:ascii="Arial" w:hAnsi="Arial" w:cs="Arial"/>
      <w:b/>
      <w:bCs/>
      <w:kern w:val="32"/>
      <w:sz w:val="32"/>
      <w:szCs w:val="32"/>
      <w:lang w:eastAsia="fr-FR"/>
    </w:rPr>
  </w:style>
  <w:style w:type="paragraph" w:styleId="Titre">
    <w:name w:val="Title"/>
    <w:basedOn w:val="Normal"/>
    <w:next w:val="Normal"/>
    <w:link w:val="TitreCar"/>
    <w:uiPriority w:val="99"/>
    <w:qFormat/>
    <w:rsid w:val="005F73DF"/>
    <w:pPr>
      <w:pBdr>
        <w:bottom w:val="single" w:sz="8" w:space="4" w:color="4F81BD"/>
      </w:pBdr>
      <w:spacing w:after="300"/>
      <w:contextualSpacing/>
    </w:pPr>
    <w:rPr>
      <w:rFonts w:ascii="Calibri" w:hAnsi="Calibri"/>
      <w:color w:val="17365D"/>
      <w:spacing w:val="5"/>
      <w:kern w:val="28"/>
      <w:sz w:val="52"/>
      <w:szCs w:val="52"/>
    </w:rPr>
  </w:style>
  <w:style w:type="character" w:customStyle="1" w:styleId="TitreCar">
    <w:name w:val="Titre Car"/>
    <w:basedOn w:val="Policepardfaut"/>
    <w:link w:val="Titre"/>
    <w:uiPriority w:val="99"/>
    <w:locked/>
    <w:rsid w:val="005F73DF"/>
    <w:rPr>
      <w:rFonts w:ascii="Calibri" w:hAnsi="Calibri" w:cs="Times New Roman"/>
      <w:color w:val="17365D"/>
      <w:spacing w:val="5"/>
      <w:kern w:val="28"/>
      <w:sz w:val="52"/>
      <w:szCs w:val="52"/>
      <w:lang w:eastAsia="fr-FR"/>
    </w:rPr>
  </w:style>
  <w:style w:type="paragraph" w:styleId="Sous-titre">
    <w:name w:val="Subtitle"/>
    <w:basedOn w:val="Normal"/>
    <w:next w:val="Normal"/>
    <w:link w:val="Sous-titreCar"/>
    <w:uiPriority w:val="99"/>
    <w:qFormat/>
    <w:rsid w:val="005F73DF"/>
    <w:pPr>
      <w:numPr>
        <w:ilvl w:val="1"/>
      </w:numPr>
    </w:pPr>
    <w:rPr>
      <w:rFonts w:ascii="Calibri" w:hAnsi="Calibri"/>
      <w:i/>
      <w:iCs/>
      <w:color w:val="4F81BD"/>
      <w:spacing w:val="15"/>
    </w:rPr>
  </w:style>
  <w:style w:type="character" w:customStyle="1" w:styleId="Sous-titreCar">
    <w:name w:val="Sous-titre Car"/>
    <w:basedOn w:val="Policepardfaut"/>
    <w:link w:val="Sous-titre"/>
    <w:uiPriority w:val="99"/>
    <w:locked/>
    <w:rsid w:val="005F73DF"/>
    <w:rPr>
      <w:rFonts w:ascii="Calibri" w:hAnsi="Calibri" w:cs="Times New Roman"/>
      <w:i/>
      <w:iCs/>
      <w:color w:val="4F81BD"/>
      <w:spacing w:val="15"/>
      <w:sz w:val="24"/>
      <w:szCs w:val="24"/>
      <w:lang w:eastAsia="fr-FR"/>
    </w:rPr>
  </w:style>
  <w:style w:type="paragraph" w:styleId="Paragraphedeliste">
    <w:name w:val="List Paragraph"/>
    <w:basedOn w:val="Normal"/>
    <w:uiPriority w:val="99"/>
    <w:qFormat/>
    <w:rsid w:val="005F73DF"/>
    <w:pPr>
      <w:ind w:left="720"/>
      <w:contextualSpacing/>
    </w:pPr>
  </w:style>
  <w:style w:type="table" w:styleId="Grilledutableau">
    <w:name w:val="Table Grid"/>
    <w:basedOn w:val="TableauNormal"/>
    <w:uiPriority w:val="99"/>
    <w:rsid w:val="005F7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FD427C"/>
    <w:pPr>
      <w:tabs>
        <w:tab w:val="center" w:pos="4536"/>
        <w:tab w:val="right" w:pos="9072"/>
      </w:tabs>
    </w:pPr>
  </w:style>
  <w:style w:type="character" w:customStyle="1" w:styleId="En-tteCar">
    <w:name w:val="En-tête Car"/>
    <w:basedOn w:val="Policepardfaut"/>
    <w:link w:val="En-tte"/>
    <w:uiPriority w:val="99"/>
    <w:locked/>
    <w:rsid w:val="00FD427C"/>
    <w:rPr>
      <w:rFonts w:cs="Times New Roman"/>
      <w:sz w:val="24"/>
      <w:szCs w:val="24"/>
      <w:lang w:eastAsia="fr-FR"/>
    </w:rPr>
  </w:style>
  <w:style w:type="paragraph" w:styleId="Pieddepage">
    <w:name w:val="footer"/>
    <w:basedOn w:val="Normal"/>
    <w:link w:val="PieddepageCar"/>
    <w:uiPriority w:val="99"/>
    <w:rsid w:val="00FD427C"/>
    <w:pPr>
      <w:tabs>
        <w:tab w:val="center" w:pos="4536"/>
        <w:tab w:val="right" w:pos="9072"/>
      </w:tabs>
    </w:pPr>
  </w:style>
  <w:style w:type="character" w:customStyle="1" w:styleId="PieddepageCar">
    <w:name w:val="Pied de page Car"/>
    <w:basedOn w:val="Policepardfaut"/>
    <w:link w:val="Pieddepage"/>
    <w:uiPriority w:val="99"/>
    <w:locked/>
    <w:rsid w:val="00FD427C"/>
    <w:rPr>
      <w:rFonts w:cs="Times New Roman"/>
      <w:sz w:val="24"/>
      <w:szCs w:val="24"/>
      <w:lang w:eastAsia="fr-FR"/>
    </w:rPr>
  </w:style>
  <w:style w:type="paragraph" w:styleId="Textedebulles">
    <w:name w:val="Balloon Text"/>
    <w:basedOn w:val="Normal"/>
    <w:link w:val="TextedebullesCar"/>
    <w:uiPriority w:val="99"/>
    <w:semiHidden/>
    <w:rsid w:val="00FD427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D427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765</Words>
  <Characters>4210</Characters>
  <Application>Microsoft Office Word</Application>
  <DocSecurity>0</DocSecurity>
  <Lines>35</Lines>
  <Paragraphs>9</Paragraphs>
  <ScaleCrop>false</ScaleCrop>
  <Company>CSEM</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j.lecomte</cp:lastModifiedBy>
  <cp:revision>7</cp:revision>
  <dcterms:created xsi:type="dcterms:W3CDTF">2013-03-19T12:29:00Z</dcterms:created>
  <dcterms:modified xsi:type="dcterms:W3CDTF">2013-07-10T12:50:00Z</dcterms:modified>
</cp:coreProperties>
</file>